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w:t>
      </w:r>
      <w:r w:rsidR="007154E7">
        <w:rPr>
          <w:rFonts w:ascii="Times New Roman" w:hAnsi="Times New Roman" w:cs="Times New Roman"/>
          <w:b/>
        </w:rPr>
        <w:t>6</w:t>
      </w:r>
      <w:r w:rsidR="007154E7">
        <w:rPr>
          <w:rFonts w:ascii="Times New Roman" w:hAnsi="Times New Roman" w:cs="Times New Roman"/>
          <w:b/>
        </w:rPr>
        <w:tab/>
      </w:r>
      <w:r w:rsidR="00D51E1F">
        <w:rPr>
          <w:rFonts w:ascii="Times New Roman" w:hAnsi="Times New Roman" w:cs="Times New Roman"/>
          <w:b/>
        </w:rPr>
        <w:tab/>
      </w:r>
      <w:r w:rsidR="002369C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6F7586">
        <w:rPr>
          <w:rFonts w:ascii="Times New Roman" w:hAnsi="Times New Roman" w:cs="Times New Roman"/>
          <w:b/>
        </w:rPr>
        <w:t>21</w:t>
      </w:r>
      <w:r w:rsidRPr="008929F1">
        <w:rPr>
          <w:rFonts w:ascii="Times New Roman" w:hAnsi="Times New Roman" w:cs="Times New Roman"/>
          <w:b/>
        </w:rPr>
        <w:t>.0</w:t>
      </w:r>
      <w:r w:rsidR="00317AA8">
        <w:rPr>
          <w:rFonts w:ascii="Times New Roman" w:hAnsi="Times New Roman" w:cs="Times New Roman"/>
          <w:b/>
        </w:rPr>
        <w:t>1</w:t>
      </w:r>
      <w:r w:rsidR="005F5D98">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C42A56">
        <w:rPr>
          <w:rFonts w:ascii="Times New Roman" w:hAnsi="Times New Roman" w:cs="Times New Roman"/>
          <w:b/>
          <w:sz w:val="24"/>
          <w:szCs w:val="24"/>
        </w:rPr>
        <w:t>2</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CF38E7">
        <w:rPr>
          <w:rFonts w:ascii="Times New Roman" w:hAnsi="Times New Roman" w:cs="Times New Roman"/>
          <w:b/>
          <w:sz w:val="24"/>
          <w:szCs w:val="24"/>
        </w:rPr>
        <w:t>Circular dichroism spectroscopy</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8929F1">
            <w:pPr>
              <w:ind w:right="-180"/>
              <w:rPr>
                <w:rFonts w:ascii="Times New Roman" w:hAnsi="Times New Roman" w:cs="Times New Roman"/>
                <w:b/>
                <w:sz w:val="24"/>
                <w:szCs w:val="24"/>
              </w:rPr>
            </w:pPr>
            <w:r>
              <w:rPr>
                <w:rFonts w:ascii="Times New Roman" w:hAnsi="Times New Roman" w:cs="Times New Roman"/>
                <w:b/>
                <w:sz w:val="26"/>
                <w:szCs w:val="24"/>
              </w:rPr>
              <w:t>Rs.1</w:t>
            </w:r>
            <w:r w:rsidR="008929F1" w:rsidRPr="00110D4B">
              <w:rPr>
                <w:rFonts w:ascii="Times New Roman" w:hAnsi="Times New Roman" w:cs="Times New Roman"/>
                <w:b/>
                <w:sz w:val="26"/>
                <w:szCs w:val="24"/>
              </w:rPr>
              <w:t>5</w:t>
            </w:r>
            <w:r>
              <w:rPr>
                <w:rFonts w:ascii="Times New Roman" w:hAnsi="Times New Roman" w:cs="Times New Roman"/>
                <w:b/>
                <w:sz w:val="26"/>
                <w:szCs w:val="24"/>
              </w:rPr>
              <w:t>,</w:t>
            </w:r>
            <w:r w:rsidR="008929F1" w:rsidRPr="00110D4B">
              <w:rPr>
                <w:rFonts w:ascii="Times New Roman" w:hAnsi="Times New Roman" w:cs="Times New Roman"/>
                <w:b/>
                <w:sz w:val="26"/>
                <w:szCs w:val="24"/>
              </w:rPr>
              <w:t>75</w:t>
            </w:r>
            <w:r>
              <w:rPr>
                <w:rFonts w:ascii="Times New Roman" w:hAnsi="Times New Roman" w:cs="Times New Roman"/>
                <w:b/>
                <w:sz w:val="26"/>
                <w:szCs w:val="24"/>
              </w:rPr>
              <w:t>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FC52D4">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FC52D4">
              <w:rPr>
                <w:rFonts w:ascii="Times New Roman" w:hAnsi="Times New Roman" w:cs="Times New Roman"/>
                <w:b/>
                <w:sz w:val="26"/>
                <w:szCs w:val="24"/>
              </w:rPr>
              <w:t>75</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C42A56">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C42A56">
              <w:rPr>
                <w:rFonts w:ascii="Times New Roman" w:hAnsi="Times New Roman" w:cs="Times New Roman"/>
                <w:b/>
                <w:sz w:val="24"/>
                <w:szCs w:val="24"/>
              </w:rPr>
              <w:t>2</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C42A56">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C42A56">
              <w:rPr>
                <w:rFonts w:ascii="Times New Roman" w:hAnsi="Times New Roman" w:cs="Times New Roman"/>
                <w:b/>
                <w:sz w:val="24"/>
                <w:szCs w:val="24"/>
              </w:rPr>
              <w:t>2</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C42A56">
        <w:rPr>
          <w:rFonts w:ascii="Times New Roman" w:hAnsi="Times New Roman" w:cs="Times New Roman"/>
          <w:b/>
          <w:sz w:val="24"/>
          <w:szCs w:val="24"/>
        </w:rPr>
        <w:t>2</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CF38E7">
        <w:rPr>
          <w:rFonts w:ascii="Times New Roman" w:hAnsi="Times New Roman" w:cs="Times New Roman"/>
          <w:b/>
          <w:sz w:val="24"/>
          <w:szCs w:val="24"/>
          <w:u w:val="single"/>
        </w:rPr>
        <w:t>Circular dichroism spectroscopy</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A754A9" w:rsidRDefault="00A754A9" w:rsidP="002A2CDA">
      <w:pPr>
        <w:spacing w:after="0" w:line="360" w:lineRule="auto"/>
        <w:jc w:val="center"/>
        <w:rPr>
          <w:rFonts w:ascii="Times New Roman" w:hAnsi="Times New Roman" w:cs="Times New Roman"/>
          <w:b/>
          <w:sz w:val="24"/>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37CBD">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C42A56">
        <w:rPr>
          <w:rFonts w:ascii="Times New Roman" w:hAnsi="Times New Roman" w:cs="Times New Roman"/>
          <w:b/>
          <w:sz w:val="24"/>
          <w:szCs w:val="24"/>
        </w:rPr>
        <w:t>2</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CF38E7">
        <w:rPr>
          <w:rFonts w:ascii="Times New Roman" w:hAnsi="Times New Roman" w:cs="Times New Roman"/>
          <w:b/>
          <w:sz w:val="24"/>
          <w:szCs w:val="24"/>
        </w:rPr>
        <w:t>Circular dichroism spectroscopy</w:t>
      </w:r>
      <w:r w:rsidRPr="008929F1">
        <w:rPr>
          <w:rFonts w:ascii="Times New Roman" w:eastAsia="SimSun" w:hAnsi="Times New Roman" w:cs="Times New Roman"/>
          <w:b/>
          <w:bCs/>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 (Appendix ).</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CF38E7">
        <w:rPr>
          <w:rFonts w:ascii="Times New Roman" w:hAnsi="Times New Roman" w:cs="Times New Roman"/>
          <w:b/>
          <w:sz w:val="24"/>
          <w:szCs w:val="24"/>
        </w:rPr>
        <w:t>Circular dichroism spectroscopy</w:t>
      </w:r>
      <w:r w:rsidR="000834C5"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Due on 2</w:t>
      </w:r>
      <w:r w:rsidR="00C42A56">
        <w:rPr>
          <w:rFonts w:ascii="Times New Roman" w:hAnsi="Times New Roman" w:cs="Times New Roman"/>
          <w:b/>
          <w:sz w:val="24"/>
          <w:szCs w:val="24"/>
        </w:rPr>
        <w:t>2</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C42A56">
        <w:rPr>
          <w:rFonts w:ascii="Times New Roman" w:hAnsi="Times New Roman" w:cs="Times New Roman"/>
          <w:b/>
          <w:sz w:val="24"/>
          <w:szCs w:val="24"/>
        </w:rPr>
        <w:t>2</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6F595E" w:rsidRPr="008929F1">
        <w:rPr>
          <w:rFonts w:ascii="Times New Roman" w:hAnsi="Times New Roman" w:cs="Times New Roman"/>
          <w:b/>
          <w:sz w:val="24"/>
          <w:szCs w:val="24"/>
        </w:rPr>
        <w:t>Rs.</w:t>
      </w:r>
      <w:r w:rsidR="0016593B">
        <w:rPr>
          <w:rFonts w:ascii="Times New Roman" w:hAnsi="Times New Roman" w:cs="Times New Roman"/>
          <w:b/>
          <w:sz w:val="24"/>
          <w:szCs w:val="24"/>
        </w:rPr>
        <w:t>15</w:t>
      </w:r>
      <w:r w:rsidR="006F595E" w:rsidRPr="008929F1">
        <w:rPr>
          <w:rFonts w:ascii="Times New Roman" w:hAnsi="Times New Roman" w:cs="Times New Roman"/>
          <w:b/>
          <w:sz w:val="24"/>
          <w:szCs w:val="24"/>
        </w:rPr>
        <w:t>,</w:t>
      </w:r>
      <w:r w:rsidR="0016593B">
        <w:rPr>
          <w:rFonts w:ascii="Times New Roman" w:hAnsi="Times New Roman" w:cs="Times New Roman"/>
          <w:b/>
          <w:sz w:val="24"/>
          <w:szCs w:val="24"/>
        </w:rPr>
        <w:t>7</w:t>
      </w:r>
      <w:r w:rsidR="006F595E" w:rsidRPr="008929F1">
        <w:rPr>
          <w:rFonts w:ascii="Times New Roman" w:hAnsi="Times New Roman" w:cs="Times New Roman"/>
          <w:b/>
          <w:sz w:val="24"/>
          <w:szCs w:val="24"/>
        </w:rPr>
        <w:t>50/- and EMD of Rs.</w:t>
      </w:r>
      <w:r w:rsidR="00117C46">
        <w:rPr>
          <w:rFonts w:ascii="Times New Roman" w:hAnsi="Times New Roman" w:cs="Times New Roman"/>
          <w:b/>
          <w:sz w:val="24"/>
          <w:szCs w:val="24"/>
        </w:rPr>
        <w:t>7</w:t>
      </w:r>
      <w:r w:rsidR="00D06E1A">
        <w:rPr>
          <w:rFonts w:ascii="Times New Roman" w:hAnsi="Times New Roman" w:cs="Times New Roman"/>
          <w:b/>
          <w:sz w:val="24"/>
          <w:szCs w:val="24"/>
        </w:rPr>
        <w:t>5</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137CBD">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182F0E" w:rsidRPr="008929F1" w:rsidRDefault="00182F0E" w:rsidP="006B6249">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6249" w:rsidRPr="008929F1" w:rsidRDefault="00182F0E"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w:t>
      </w:r>
      <w:r w:rsidR="006B6249" w:rsidRPr="008929F1">
        <w:rPr>
          <w:rFonts w:ascii="Times New Roman" w:eastAsia="TimesNewRomanPSMT" w:hAnsi="Times New Roman" w:cs="Times New Roman"/>
          <w:sz w:val="24"/>
          <w:szCs w:val="24"/>
        </w:rPr>
        <w:t xml:space="preserve"> should be mentioned.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19711C" w:rsidRPr="00155BF2" w:rsidRDefault="006B6249"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sidR="00573F73">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55BF2" w:rsidRPr="0019711C" w:rsidRDefault="00155BF2" w:rsidP="0019711C">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19711C" w:rsidRPr="0019711C" w:rsidRDefault="00003FFF"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9711C" w:rsidRPr="008929F1" w:rsidRDefault="0019711C" w:rsidP="0019711C">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6249" w:rsidRPr="008929F1" w:rsidRDefault="00003FFF"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sidR="00287525">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287525" w:rsidRDefault="009B163E" w:rsidP="009B163E">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19711C" w:rsidRPr="00A73654" w:rsidRDefault="0019711C"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Default="009B163E" w:rsidP="009B163E">
      <w:pPr>
        <w:pStyle w:val="ListParagraph"/>
        <w:ind w:left="0" w:right="-23"/>
        <w:jc w:val="both"/>
        <w:rPr>
          <w:rFonts w:ascii="Times New Roman" w:hAnsi="Times New Roman" w:cs="Times New Roman"/>
          <w:sz w:val="16"/>
          <w:szCs w:val="24"/>
        </w:rPr>
      </w:pPr>
    </w:p>
    <w:p w:rsidR="00281222"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852404" w:rsidRDefault="0085240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852404" w:rsidRPr="00852404" w:rsidRDefault="00852404" w:rsidP="00852404">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9B163E" w:rsidRDefault="009B163E" w:rsidP="009B163E">
      <w:pPr>
        <w:pStyle w:val="ListParagraph"/>
        <w:spacing w:after="0"/>
        <w:ind w:left="0" w:right="-23"/>
        <w:jc w:val="both"/>
        <w:rPr>
          <w:rFonts w:ascii="Times New Roman" w:hAnsi="Times New Roman" w:cs="Times New Roman"/>
          <w:sz w:val="16"/>
          <w:szCs w:val="24"/>
        </w:rPr>
      </w:pPr>
    </w:p>
    <w:p w:rsidR="00A73654" w:rsidRDefault="00A73654" w:rsidP="009B163E">
      <w:pPr>
        <w:pStyle w:val="ListParagraph"/>
        <w:spacing w:after="0"/>
        <w:ind w:left="0" w:right="-23"/>
        <w:jc w:val="both"/>
        <w:rPr>
          <w:rFonts w:ascii="Times New Roman" w:hAnsi="Times New Roman" w:cs="Times New Roman"/>
          <w:sz w:val="16"/>
          <w:szCs w:val="24"/>
        </w:rPr>
      </w:pPr>
    </w:p>
    <w:p w:rsidR="00A754A9" w:rsidRDefault="00A754A9" w:rsidP="009B163E">
      <w:pPr>
        <w:pStyle w:val="ListParagraph"/>
        <w:spacing w:after="0"/>
        <w:ind w:left="0" w:right="-23"/>
        <w:jc w:val="both"/>
        <w:rPr>
          <w:rFonts w:ascii="Times New Roman" w:hAnsi="Times New Roman" w:cs="Times New Roman"/>
          <w:sz w:val="16"/>
          <w:szCs w:val="24"/>
        </w:rPr>
      </w:pPr>
    </w:p>
    <w:p w:rsidR="00A754A9" w:rsidRPr="00E94DCB" w:rsidRDefault="00A754A9"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155BF2" w:rsidRPr="00B218BD" w:rsidRDefault="00155BF2"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A73654" w:rsidRDefault="00155BF2" w:rsidP="00155BF2">
      <w:pPr>
        <w:spacing w:after="0" w:line="240" w:lineRule="auto"/>
        <w:jc w:val="center"/>
        <w:rPr>
          <w:rFonts w:ascii="Times New Roman" w:hAnsi="Times New Roman" w:cs="Times New Roman"/>
          <w:b/>
          <w:sz w:val="24"/>
          <w:szCs w:val="24"/>
          <w:u w:val="double"/>
        </w:rPr>
      </w:pPr>
      <w:r w:rsidRPr="00155BF2">
        <w:rPr>
          <w:rFonts w:ascii="Times New Roman" w:hAnsi="Times New Roman" w:cs="Times New Roman"/>
          <w:b/>
          <w:sz w:val="24"/>
          <w:szCs w:val="24"/>
          <w:u w:val="double"/>
        </w:rPr>
        <w:lastRenderedPageBreak/>
        <w:t>SCHEDULE</w:t>
      </w:r>
    </w:p>
    <w:p w:rsidR="000F6E0F" w:rsidRPr="000F6E0F" w:rsidRDefault="000F6E0F" w:rsidP="00155BF2">
      <w:pPr>
        <w:spacing w:after="0" w:line="240" w:lineRule="auto"/>
        <w:jc w:val="center"/>
        <w:rPr>
          <w:rFonts w:ascii="Times New Roman" w:hAnsi="Times New Roman" w:cs="Times New Roman"/>
          <w:b/>
          <w:sz w:val="16"/>
          <w:szCs w:val="24"/>
          <w:u w:val="double"/>
        </w:rPr>
      </w:pPr>
    </w:p>
    <w:p w:rsidR="002D2039" w:rsidRPr="000F6E0F" w:rsidRDefault="002D2039" w:rsidP="002D2039">
      <w:pPr>
        <w:jc w:val="center"/>
        <w:rPr>
          <w:b/>
          <w:bCs/>
          <w:u w:val="single"/>
        </w:rPr>
      </w:pPr>
      <w:r w:rsidRPr="000F6E0F">
        <w:rPr>
          <w:rFonts w:ascii="Times New Roman" w:hAnsi="Times New Roman" w:cs="Times New Roman"/>
          <w:b/>
          <w:sz w:val="28"/>
          <w:szCs w:val="28"/>
          <w:u w:val="single"/>
        </w:rPr>
        <w:t xml:space="preserve">Technical specification for </w:t>
      </w:r>
      <w:r w:rsidR="000F6E0F" w:rsidRPr="000F6E0F">
        <w:rPr>
          <w:rFonts w:ascii="Times New Roman" w:hAnsi="Times New Roman" w:cs="Times New Roman"/>
          <w:b/>
          <w:sz w:val="28"/>
          <w:szCs w:val="28"/>
          <w:u w:val="single"/>
        </w:rPr>
        <w:t xml:space="preserve">1No. of </w:t>
      </w:r>
      <w:r w:rsidRPr="000F6E0F">
        <w:rPr>
          <w:rFonts w:ascii="Times New Roman" w:hAnsi="Times New Roman" w:cs="Times New Roman"/>
          <w:b/>
          <w:sz w:val="28"/>
          <w:szCs w:val="28"/>
          <w:u w:val="single"/>
        </w:rPr>
        <w:t>Circular Dichroism with accessories</w:t>
      </w:r>
    </w:p>
    <w:tbl>
      <w:tblPr>
        <w:tblW w:w="9259" w:type="dxa"/>
        <w:tblInd w:w="364" w:type="dxa"/>
        <w:tblLayout w:type="fixed"/>
        <w:tblCellMar>
          <w:left w:w="0" w:type="dxa"/>
          <w:right w:w="0" w:type="dxa"/>
        </w:tblCellMar>
        <w:tblLook w:val="0000" w:firstRow="0" w:lastRow="0" w:firstColumn="0" w:lastColumn="0" w:noHBand="0" w:noVBand="0"/>
      </w:tblPr>
      <w:tblGrid>
        <w:gridCol w:w="3601"/>
        <w:gridCol w:w="5658"/>
      </w:tblGrid>
      <w:tr w:rsidR="002D2039" w:rsidRPr="003F6ED8" w:rsidTr="00EC718E">
        <w:trPr>
          <w:trHeight w:hRule="exact" w:val="639"/>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b/>
                <w:bCs/>
                <w:spacing w:val="-1"/>
              </w:rPr>
              <w:t>The CD Spectrometer</w:t>
            </w:r>
            <w:r w:rsidRPr="003F6ED8">
              <w:rPr>
                <w:b/>
                <w:bCs/>
                <w:spacing w:val="-4"/>
              </w:rPr>
              <w:t xml:space="preserve"> to measure CD, LD, Absorbance, fluorescence and Temperature controlled measurements for secondary structure estimation.</w:t>
            </w:r>
          </w:p>
        </w:tc>
      </w:tr>
      <w:tr w:rsidR="002D2039" w:rsidRPr="003F6ED8" w:rsidTr="00EC718E">
        <w:trPr>
          <w:trHeight w:hRule="exact" w:val="639"/>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Light Source</w:t>
            </w:r>
            <w:r w:rsidRPr="003F6ED8">
              <w:rPr>
                <w:spacing w:val="-2"/>
              </w:rPr>
              <w:t xml:space="preserve">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2"/>
              </w:rPr>
              <w:t>450W</w:t>
            </w:r>
            <w:r w:rsidRPr="003F6ED8">
              <w:rPr>
                <w:spacing w:val="6"/>
              </w:rPr>
              <w:t xml:space="preserve"> Water</w:t>
            </w:r>
            <w:r w:rsidRPr="003F6ED8">
              <w:rPr>
                <w:spacing w:val="-1"/>
              </w:rPr>
              <w:t>-cooled</w:t>
            </w:r>
            <w:r w:rsidRPr="003F6ED8">
              <w:rPr>
                <w:spacing w:val="-2"/>
              </w:rPr>
              <w:t xml:space="preserve"> </w:t>
            </w:r>
            <w:r w:rsidRPr="003F6ED8">
              <w:t xml:space="preserve">Xe </w:t>
            </w:r>
            <w:r w:rsidRPr="003F6ED8">
              <w:rPr>
                <w:spacing w:val="-2"/>
              </w:rPr>
              <w:t>lamp Should have option to use Halogen lamp for NIR region</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Light Source</w:t>
            </w:r>
            <w:r w:rsidRPr="003F6ED8">
              <w:rPr>
                <w:spacing w:val="-4"/>
              </w:rPr>
              <w:t xml:space="preserve"> </w:t>
            </w:r>
            <w:r w:rsidRPr="003F6ED8">
              <w:t>for</w:t>
            </w:r>
            <w:r w:rsidRPr="003F6ED8">
              <w:rPr>
                <w:spacing w:val="1"/>
              </w:rPr>
              <w:t xml:space="preserve"> </w:t>
            </w:r>
            <w:r w:rsidRPr="003F6ED8">
              <w:rPr>
                <w:spacing w:val="-1"/>
              </w:rPr>
              <w:t>validation: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Mercury</w:t>
            </w:r>
            <w:r w:rsidRPr="003F6ED8">
              <w:rPr>
                <w:spacing w:val="-2"/>
              </w:rPr>
              <w:t xml:space="preserve"> </w:t>
            </w:r>
            <w:r w:rsidRPr="003F6ED8">
              <w:rPr>
                <w:spacing w:val="-1"/>
              </w:rPr>
              <w:t>Lamp</w:t>
            </w:r>
          </w:p>
        </w:tc>
      </w:tr>
      <w:tr w:rsidR="002D2039" w:rsidRPr="003F6ED8" w:rsidTr="00EC718E">
        <w:trPr>
          <w:trHeight w:hRule="exact" w:val="567"/>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Detector:</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PMT should have option to upgrade to InGaAs detector for NIR measurement.</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 xml:space="preserve">Monochromator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Double</w:t>
            </w:r>
            <w:r w:rsidRPr="003F6ED8">
              <w:t xml:space="preserve"> – Prism </w:t>
            </w:r>
            <w:r w:rsidRPr="003F6ED8">
              <w:rPr>
                <w:spacing w:val="-1"/>
              </w:rPr>
              <w:t>polarizing</w:t>
            </w:r>
            <w:r w:rsidRPr="003F6ED8">
              <w:rPr>
                <w:spacing w:val="2"/>
              </w:rPr>
              <w:t xml:space="preserve"> monochromator </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2"/>
              </w:rPr>
              <w:t>Range: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163</w:t>
            </w:r>
            <w:r w:rsidRPr="003F6ED8">
              <w:t xml:space="preserve"> to</w:t>
            </w:r>
            <w:r w:rsidRPr="003F6ED8">
              <w:rPr>
                <w:spacing w:val="-2"/>
              </w:rPr>
              <w:t xml:space="preserve"> </w:t>
            </w:r>
            <w:r w:rsidRPr="003F6ED8">
              <w:rPr>
                <w:spacing w:val="-1"/>
              </w:rPr>
              <w:t>950</w:t>
            </w:r>
            <w:r w:rsidRPr="003F6ED8">
              <w:t xml:space="preserve"> </w:t>
            </w:r>
            <w:r w:rsidRPr="003F6ED8">
              <w:rPr>
                <w:spacing w:val="-2"/>
              </w:rPr>
              <w:t>nm</w:t>
            </w:r>
            <w:r w:rsidRPr="003F6ED8">
              <w:t xml:space="preserve"> and should be upgradable to 1600nm </w:t>
            </w:r>
          </w:p>
        </w:tc>
      </w:tr>
      <w:tr w:rsidR="002D2039" w:rsidRPr="003F6ED8" w:rsidTr="00EC718E">
        <w:trPr>
          <w:trHeight w:hRule="exact" w:val="29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1"/>
              </w:rPr>
              <w:t>accuracy:</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pPr>
            <w:r w:rsidRPr="003F6ED8">
              <w:rPr>
                <w:spacing w:val="-1"/>
              </w:rPr>
              <w:t xml:space="preserve"> +/-0.1</w:t>
            </w:r>
            <w:r w:rsidRPr="003F6ED8">
              <w:t xml:space="preserve"> </w:t>
            </w:r>
            <w:r w:rsidRPr="003F6ED8">
              <w:rPr>
                <w:spacing w:val="-2"/>
              </w:rPr>
              <w:t>nm</w:t>
            </w:r>
            <w:r w:rsidRPr="003F6ED8">
              <w:rPr>
                <w:spacing w:val="-1"/>
              </w:rPr>
              <w:t xml:space="preserve"> </w:t>
            </w:r>
            <w:r w:rsidRPr="003F6ED8">
              <w:t>(at</w:t>
            </w:r>
            <w:r w:rsidRPr="003F6ED8">
              <w:rPr>
                <w:spacing w:val="-1"/>
              </w:rPr>
              <w:t xml:space="preserve"> 163</w:t>
            </w:r>
            <w:r w:rsidRPr="003F6ED8">
              <w:rPr>
                <w:spacing w:val="-2"/>
              </w:rPr>
              <w:t xml:space="preserve"> </w:t>
            </w:r>
            <w:r w:rsidRPr="003F6ED8">
              <w:t>to 25</w:t>
            </w:r>
            <w:r w:rsidRPr="003F6ED8">
              <w:rPr>
                <w:spacing w:val="-1"/>
              </w:rPr>
              <w:t>0nm)</w:t>
            </w:r>
          </w:p>
        </w:tc>
      </w:tr>
      <w:tr w:rsidR="002D2039" w:rsidRPr="003F6ED8" w:rsidTr="00EC718E">
        <w:trPr>
          <w:trHeight w:hRule="exact" w:val="359"/>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2"/>
              </w:rPr>
              <w:t>Reproducibility:</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+/-0.05</w:t>
            </w:r>
            <w:r w:rsidRPr="003F6ED8">
              <w:rPr>
                <w:spacing w:val="-2"/>
              </w:rPr>
              <w:t xml:space="preserve"> </w:t>
            </w:r>
            <w:r w:rsidRPr="003F6ED8">
              <w:t>nm</w:t>
            </w:r>
            <w:r w:rsidRPr="003F6ED8">
              <w:rPr>
                <w:spacing w:val="-1"/>
              </w:rPr>
              <w:t xml:space="preserve"> (at</w:t>
            </w:r>
            <w:r w:rsidRPr="003F6ED8">
              <w:rPr>
                <w:spacing w:val="2"/>
              </w:rPr>
              <w:t xml:space="preserve"> </w:t>
            </w:r>
            <w:r w:rsidRPr="003F6ED8">
              <w:rPr>
                <w:spacing w:val="-1"/>
              </w:rPr>
              <w:t>163</w:t>
            </w:r>
            <w:r w:rsidRPr="003F6ED8">
              <w:rPr>
                <w:spacing w:val="-2"/>
              </w:rPr>
              <w:t xml:space="preserve"> </w:t>
            </w:r>
            <w:r w:rsidRPr="003F6ED8">
              <w:t xml:space="preserve">to </w:t>
            </w:r>
            <w:r w:rsidRPr="003F6ED8">
              <w:rPr>
                <w:spacing w:val="-1"/>
              </w:rPr>
              <w:t>500)</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1"/>
              </w:rPr>
              <w:t>Resolution: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0.025nm</w:t>
            </w:r>
            <w:r w:rsidRPr="003F6ED8">
              <w:rPr>
                <w:spacing w:val="-1"/>
              </w:rPr>
              <w:t xml:space="preserve"> </w:t>
            </w:r>
            <w:r w:rsidRPr="003F6ED8">
              <w:t>or</w:t>
            </w:r>
            <w:r w:rsidRPr="003F6ED8">
              <w:rPr>
                <w:spacing w:val="-1"/>
              </w:rPr>
              <w:t xml:space="preserve"> better</w:t>
            </w:r>
          </w:p>
        </w:tc>
      </w:tr>
      <w:tr w:rsidR="002D2039" w:rsidRPr="003F6ED8" w:rsidTr="00EC718E">
        <w:trPr>
          <w:trHeight w:hRule="exact" w:val="34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rPr>
                <w:spacing w:val="-1"/>
              </w:rPr>
            </w:pPr>
            <w:r w:rsidRPr="003F6ED8">
              <w:rPr>
                <w:spacing w:val="-1"/>
              </w:rPr>
              <w:t>Spectral Bandwidth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0.01 to 16nm</w:t>
            </w:r>
          </w:p>
        </w:tc>
      </w:tr>
      <w:tr w:rsidR="002D2039" w:rsidRPr="003F6ED8" w:rsidTr="00EC718E">
        <w:trPr>
          <w:trHeight w:hRule="exact" w:val="30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rPr>
                <w:spacing w:val="-1"/>
              </w:rPr>
            </w:pPr>
            <w:r w:rsidRPr="003F6ED8">
              <w:rPr>
                <w:spacing w:val="-1"/>
              </w:rPr>
              <w:t>Slit Width:</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1 to 4000μm</w:t>
            </w:r>
          </w:p>
        </w:tc>
      </w:tr>
      <w:tr w:rsidR="002D2039" w:rsidRPr="003F6ED8" w:rsidTr="00EC718E">
        <w:trPr>
          <w:trHeight w:hRule="exact" w:val="516"/>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pPr>
            <w:r w:rsidRPr="003F6ED8">
              <w:rPr>
                <w:spacing w:val="-1"/>
              </w:rPr>
              <w:t>Digital Integration</w:t>
            </w:r>
            <w:r w:rsidRPr="003F6ED8">
              <w:rPr>
                <w:spacing w:val="-2"/>
              </w:rPr>
              <w:t xml:space="preserve"> </w:t>
            </w:r>
            <w:r w:rsidRPr="003F6ED8">
              <w:rPr>
                <w:spacing w:val="-1"/>
              </w:rPr>
              <w:t>Time</w:t>
            </w:r>
            <w:r w:rsidRPr="003F6ED8">
              <w:rPr>
                <w:spacing w:val="27"/>
              </w:rPr>
              <w:t xml:space="preserve"> </w:t>
            </w:r>
            <w:r w:rsidRPr="003F6ED8">
              <w:rPr>
                <w:spacing w:val="-1"/>
              </w:rPr>
              <w:t xml:space="preserve">(D.I.T.)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0.1msec</w:t>
            </w:r>
            <w:r w:rsidRPr="003F6ED8">
              <w:rPr>
                <w:spacing w:val="-2"/>
              </w:rPr>
              <w:t xml:space="preserve"> </w:t>
            </w:r>
            <w:r w:rsidRPr="003F6ED8">
              <w:t xml:space="preserve">to </w:t>
            </w:r>
            <w:r w:rsidRPr="003F6ED8">
              <w:rPr>
                <w:spacing w:val="-1"/>
              </w:rPr>
              <w:t>30sec</w:t>
            </w:r>
          </w:p>
        </w:tc>
      </w:tr>
      <w:tr w:rsidR="002D2039" w:rsidRPr="003F6ED8" w:rsidTr="00EC718E">
        <w:trPr>
          <w:trHeight w:hRule="exact" w:val="34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2" w:lineRule="exact"/>
              <w:ind w:left="102"/>
            </w:pPr>
            <w:r w:rsidRPr="003F6ED8">
              <w:rPr>
                <w:spacing w:val="-1"/>
              </w:rPr>
              <w:t>Measurement mode: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2" w:lineRule="exact"/>
              <w:ind w:left="102"/>
            </w:pPr>
            <w:r w:rsidRPr="003F6ED8">
              <w:rPr>
                <w:spacing w:val="-1"/>
              </w:rPr>
              <w:t>Continuous</w:t>
            </w:r>
            <w:r w:rsidRPr="003F6ED8">
              <w:rPr>
                <w:spacing w:val="1"/>
              </w:rPr>
              <w:t xml:space="preserve"> </w:t>
            </w:r>
            <w:r w:rsidRPr="003F6ED8">
              <w:rPr>
                <w:spacing w:val="-1"/>
              </w:rPr>
              <w:t>scan,</w:t>
            </w:r>
            <w:r w:rsidRPr="003F6ED8">
              <w:rPr>
                <w:spacing w:val="2"/>
              </w:rPr>
              <w:t xml:space="preserve"> </w:t>
            </w:r>
            <w:r w:rsidRPr="003F6ED8">
              <w:rPr>
                <w:spacing w:val="-1"/>
              </w:rPr>
              <w:t>step</w:t>
            </w:r>
            <w:r w:rsidRPr="003F6ED8">
              <w:rPr>
                <w:spacing w:val="-2"/>
              </w:rPr>
              <w:t xml:space="preserve"> </w:t>
            </w:r>
            <w:r w:rsidRPr="003F6ED8">
              <w:rPr>
                <w:spacing w:val="-1"/>
              </w:rPr>
              <w:t>scan</w:t>
            </w:r>
            <w:r w:rsidRPr="003F6ED8">
              <w:t>,</w:t>
            </w:r>
            <w:r w:rsidRPr="003F6ED8">
              <w:rPr>
                <w:spacing w:val="-1"/>
              </w:rPr>
              <w:t xml:space="preserve"> Auto</w:t>
            </w:r>
            <w:r w:rsidRPr="003F6ED8">
              <w:t xml:space="preserve"> </w:t>
            </w:r>
            <w:r w:rsidRPr="003F6ED8">
              <w:rPr>
                <w:spacing w:val="-1"/>
              </w:rPr>
              <w:t>–scan</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Scanning Speed</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10,000 nm / min</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CD</w:t>
            </w:r>
            <w:r w:rsidRPr="003F6ED8">
              <w:t xml:space="preserve"> </w:t>
            </w:r>
            <w:r w:rsidRPr="003F6ED8">
              <w:rPr>
                <w:spacing w:val="-1"/>
              </w:rPr>
              <w:t>Full</w:t>
            </w:r>
            <w:r w:rsidRPr="003F6ED8">
              <w:t xml:space="preserve"> </w:t>
            </w:r>
            <w:r w:rsidRPr="003F6ED8">
              <w:rPr>
                <w:spacing w:val="-1"/>
              </w:rPr>
              <w:t>Scale: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w:t>
            </w:r>
            <w:r w:rsidRPr="003F6ED8">
              <w:rPr>
                <w:spacing w:val="-1"/>
              </w:rPr>
              <w:t xml:space="preserve"> 8000 mdeg </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CD</w:t>
            </w:r>
            <w:r w:rsidRPr="003F6ED8">
              <w:t xml:space="preserve"> </w:t>
            </w:r>
            <w:r w:rsidRPr="003F6ED8">
              <w:rPr>
                <w:spacing w:val="-1"/>
              </w:rPr>
              <w:t>Resolution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0.00001mdeg</w:t>
            </w:r>
          </w:p>
        </w:tc>
      </w:tr>
      <w:tr w:rsidR="002D2039" w:rsidRPr="003F6ED8" w:rsidTr="00EC718E">
        <w:trPr>
          <w:trHeight w:hRule="exact" w:val="40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CD Dynamic Range: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No CD distortion should be there for OD up to 3 Abs</w:t>
            </w:r>
          </w:p>
          <w:p w:rsidR="002D2039" w:rsidRPr="003F6ED8" w:rsidRDefault="002D2039" w:rsidP="00EC718E">
            <w:pPr>
              <w:pStyle w:val="TableParagraph"/>
              <w:kinsoku w:val="0"/>
              <w:overflowPunct w:val="0"/>
              <w:spacing w:line="250" w:lineRule="exact"/>
              <w:ind w:left="102"/>
            </w:pP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Stray</w:t>
            </w:r>
            <w:r w:rsidRPr="003F6ED8">
              <w:rPr>
                <w:spacing w:val="-2"/>
              </w:rPr>
              <w:t xml:space="preserve"> </w:t>
            </w:r>
            <w:r w:rsidRPr="003F6ED8">
              <w:rPr>
                <w:spacing w:val="-1"/>
              </w:rPr>
              <w:t>Light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less</w:t>
            </w:r>
            <w:r w:rsidRPr="003F6ED8">
              <w:rPr>
                <w:spacing w:val="-2"/>
              </w:rPr>
              <w:t xml:space="preserve"> </w:t>
            </w:r>
            <w:r w:rsidRPr="003F6ED8">
              <w:rPr>
                <w:spacing w:val="-1"/>
              </w:rPr>
              <w:t xml:space="preserve">than 0.0003% </w:t>
            </w:r>
            <w:r w:rsidRPr="003F6ED8">
              <w:t>(at</w:t>
            </w:r>
            <w:r w:rsidRPr="003F6ED8">
              <w:rPr>
                <w:spacing w:val="-1"/>
              </w:rPr>
              <w:t xml:space="preserve"> 200nm)</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RMS</w:t>
            </w:r>
            <w:r w:rsidRPr="003F6ED8">
              <w:t xml:space="preserve"> </w:t>
            </w:r>
            <w:r w:rsidRPr="003F6ED8">
              <w:rPr>
                <w:spacing w:val="-1"/>
              </w:rPr>
              <w:t>Noise: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0.003</w:t>
            </w:r>
            <w:r w:rsidRPr="003F6ED8">
              <w:rPr>
                <w:spacing w:val="-1"/>
              </w:rPr>
              <w:t>mdeg</w:t>
            </w:r>
            <w:r w:rsidRPr="003F6ED8">
              <w:t xml:space="preserve"> </w:t>
            </w:r>
            <w:r w:rsidRPr="003F6ED8">
              <w:rPr>
                <w:spacing w:val="-1"/>
              </w:rPr>
              <w:t>(185</w:t>
            </w:r>
            <w:r w:rsidRPr="003F6ED8">
              <w:t xml:space="preserve"> </w:t>
            </w:r>
            <w:r w:rsidRPr="003F6ED8">
              <w:rPr>
                <w:spacing w:val="-2"/>
              </w:rPr>
              <w:t>nm)</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Baseline stability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 xml:space="preserve">0.02mdeg/Hr </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LD Measurement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Should be standard and have Full scale ±1  ∆OD</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UV Measurement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Should be standard and have full scale upto 5 Abs)</w:t>
            </w:r>
          </w:p>
        </w:tc>
      </w:tr>
      <w:tr w:rsidR="002D2039" w:rsidRPr="003F6ED8" w:rsidTr="00EC718E">
        <w:trPr>
          <w:trHeight w:hRule="exact" w:val="57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Nitrogen gas Purge: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Light source Unit, Monochromator unit &amp; Sample compartment</w:t>
            </w:r>
          </w:p>
          <w:p w:rsidR="002D2039" w:rsidRPr="003F6ED8" w:rsidRDefault="002D2039" w:rsidP="00EC718E">
            <w:pPr>
              <w:pStyle w:val="TableParagraph"/>
              <w:kinsoku w:val="0"/>
              <w:overflowPunct w:val="0"/>
              <w:spacing w:line="250" w:lineRule="exact"/>
              <w:ind w:left="102"/>
            </w:pPr>
          </w:p>
          <w:p w:rsidR="002D2039" w:rsidRPr="003F6ED8" w:rsidRDefault="002D2039" w:rsidP="00EC718E">
            <w:pPr>
              <w:pStyle w:val="TableParagraph"/>
              <w:kinsoku w:val="0"/>
              <w:overflowPunct w:val="0"/>
              <w:spacing w:line="250" w:lineRule="exact"/>
              <w:ind w:left="102"/>
            </w:pPr>
          </w:p>
        </w:tc>
      </w:tr>
      <w:tr w:rsidR="002D2039" w:rsidRPr="003F6ED8" w:rsidTr="00EC718E">
        <w:trPr>
          <w:trHeight w:hRule="exact" w:val="28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External input terminals</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Two channels (input range: -1 to 1 V DC)</w:t>
            </w:r>
          </w:p>
        </w:tc>
      </w:tr>
      <w:tr w:rsidR="002D2039" w:rsidRPr="003F6ED8" w:rsidTr="00EC718E">
        <w:trPr>
          <w:trHeight w:hRule="exact" w:val="936"/>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The simultaneous acquisition of up to four data channels including CD, Absorbance, Linear Dichroism (LD), Fluorescence, Fluorescence detected CD (FDCD), Fluorescence detected LD (FDLD), Fluorescence Anisotropy and Optional Rotatory, Dispersion (ORD).</w:t>
            </w:r>
          </w:p>
        </w:tc>
      </w:tr>
      <w:tr w:rsidR="002D2039" w:rsidRPr="003F6ED8" w:rsidTr="00EC718E">
        <w:trPr>
          <w:trHeight w:hRule="exact" w:val="37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Accessories should be recognised automatically</w:t>
            </w:r>
          </w:p>
          <w:p w:rsidR="002D2039" w:rsidRPr="003F6ED8" w:rsidRDefault="002D2039" w:rsidP="00EC718E">
            <w:pPr>
              <w:pStyle w:val="TableParagraph"/>
              <w:kinsoku w:val="0"/>
              <w:overflowPunct w:val="0"/>
              <w:spacing w:line="250" w:lineRule="exact"/>
              <w:ind w:left="102"/>
              <w:rPr>
                <w:spacing w:val="-1"/>
              </w:rPr>
            </w:pPr>
          </w:p>
        </w:tc>
      </w:tr>
      <w:tr w:rsidR="002D2039" w:rsidRPr="003F6ED8" w:rsidTr="00EC718E">
        <w:trPr>
          <w:trHeight w:hRule="exact" w:val="37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Instrument</w:t>
            </w:r>
            <w:r w:rsidRPr="003F6ED8">
              <w:rPr>
                <w:spacing w:val="2"/>
              </w:rPr>
              <w:t xml:space="preserve"> </w:t>
            </w:r>
            <w:r w:rsidRPr="003F6ED8">
              <w:rPr>
                <w:spacing w:val="-1"/>
              </w:rPr>
              <w:t>Communication:</w:t>
            </w:r>
            <w:r w:rsidRPr="003F6ED8">
              <w:rPr>
                <w:spacing w:val="2"/>
              </w:rPr>
              <w:t xml:space="preserve"> </w:t>
            </w:r>
            <w:r w:rsidRPr="003F6ED8">
              <w:rPr>
                <w:spacing w:val="-2"/>
              </w:rPr>
              <w:t>High</w:t>
            </w:r>
            <w:r w:rsidRPr="003F6ED8">
              <w:t xml:space="preserve"> speed</w:t>
            </w:r>
            <w:r w:rsidRPr="003F6ED8">
              <w:rPr>
                <w:spacing w:val="-3"/>
              </w:rPr>
              <w:t xml:space="preserve"> </w:t>
            </w:r>
            <w:r w:rsidRPr="003F6ED8">
              <w:rPr>
                <w:spacing w:val="-1"/>
              </w:rPr>
              <w:t>USB</w:t>
            </w:r>
          </w:p>
        </w:tc>
      </w:tr>
      <w:tr w:rsidR="002D2039" w:rsidRPr="003F6ED8" w:rsidTr="00EC718E">
        <w:trPr>
          <w:trHeight w:hRule="exact" w:val="359"/>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Should have provision to measure sample as low as 2µl.</w:t>
            </w:r>
          </w:p>
        </w:tc>
      </w:tr>
      <w:tr w:rsidR="002D2039" w:rsidRPr="003F6ED8" w:rsidTr="00EC718E">
        <w:trPr>
          <w:trHeight w:hRule="exact" w:val="644"/>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CD Instrument should be upgradeable in future to Fluorescence Monochromator, Titrator, ORD, Microplate Reader, Capillary sampling, Magnetic CD and HTCD</w:t>
            </w:r>
          </w:p>
          <w:p w:rsidR="002D2039" w:rsidRPr="003F6ED8" w:rsidRDefault="002D2039" w:rsidP="00EC718E">
            <w:pPr>
              <w:pStyle w:val="TableParagraph"/>
              <w:kinsoku w:val="0"/>
              <w:overflowPunct w:val="0"/>
              <w:spacing w:line="250" w:lineRule="exact"/>
              <w:ind w:left="102"/>
              <w:rPr>
                <w:spacing w:val="-1"/>
              </w:rPr>
            </w:pPr>
          </w:p>
        </w:tc>
      </w:tr>
      <w:tr w:rsidR="002D2039" w:rsidRPr="003F6ED8" w:rsidTr="00EC718E">
        <w:trPr>
          <w:trHeight w:hRule="exact" w:val="82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41" w:lineRule="auto"/>
              <w:ind w:left="102" w:right="449"/>
            </w:pPr>
            <w:r w:rsidRPr="003F6ED8">
              <w:rPr>
                <w:spacing w:val="-1"/>
              </w:rPr>
              <w:lastRenderedPageBreak/>
              <w:t>All</w:t>
            </w:r>
            <w:r w:rsidRPr="003F6ED8">
              <w:t xml:space="preserve"> </w:t>
            </w:r>
            <w:r w:rsidRPr="003F6ED8">
              <w:rPr>
                <w:spacing w:val="-1"/>
              </w:rPr>
              <w:t>software’s</w:t>
            </w:r>
            <w:r w:rsidRPr="003F6ED8">
              <w:rPr>
                <w:spacing w:val="1"/>
              </w:rPr>
              <w:t xml:space="preserve"> </w:t>
            </w:r>
            <w:r w:rsidRPr="003F6ED8">
              <w:rPr>
                <w:spacing w:val="-1"/>
              </w:rPr>
              <w:t>required</w:t>
            </w:r>
            <w:r w:rsidRPr="003F6ED8">
              <w:rPr>
                <w:spacing w:val="-5"/>
              </w:rPr>
              <w:t xml:space="preserve"> </w:t>
            </w:r>
            <w:r w:rsidRPr="003F6ED8">
              <w:t>for</w:t>
            </w:r>
            <w:r w:rsidRPr="003F6ED8">
              <w:rPr>
                <w:spacing w:val="1"/>
              </w:rPr>
              <w:t xml:space="preserve"> </w:t>
            </w:r>
            <w:r w:rsidRPr="003F6ED8">
              <w:rPr>
                <w:spacing w:val="-1"/>
              </w:rPr>
              <w:t>data</w:t>
            </w:r>
            <w:r w:rsidRPr="003F6ED8">
              <w:t xml:space="preserve"> </w:t>
            </w:r>
            <w:r w:rsidRPr="003F6ED8">
              <w:rPr>
                <w:spacing w:val="-1"/>
              </w:rPr>
              <w:t>collection,</w:t>
            </w:r>
            <w:r w:rsidRPr="003F6ED8">
              <w:rPr>
                <w:spacing w:val="-3"/>
              </w:rPr>
              <w:t xml:space="preserve"> </w:t>
            </w:r>
            <w:r w:rsidRPr="003F6ED8">
              <w:rPr>
                <w:spacing w:val="-1"/>
              </w:rPr>
              <w:t>ORD,</w:t>
            </w:r>
            <w:r w:rsidRPr="003F6ED8">
              <w:rPr>
                <w:spacing w:val="2"/>
              </w:rPr>
              <w:t xml:space="preserve"> </w:t>
            </w:r>
            <w:r w:rsidRPr="003F6ED8">
              <w:rPr>
                <w:spacing w:val="-1"/>
              </w:rPr>
              <w:t>elucidation</w:t>
            </w:r>
            <w:r w:rsidRPr="003F6ED8">
              <w:t xml:space="preserve"> &amp; </w:t>
            </w:r>
            <w:r w:rsidRPr="003F6ED8">
              <w:rPr>
                <w:spacing w:val="-1"/>
              </w:rPr>
              <w:t>Protein</w:t>
            </w:r>
            <w:r w:rsidRPr="003F6ED8">
              <w:t xml:space="preserve"> </w:t>
            </w:r>
            <w:r w:rsidRPr="003F6ED8">
              <w:rPr>
                <w:spacing w:val="-1"/>
              </w:rPr>
              <w:t>secondary structure</w:t>
            </w:r>
            <w:r w:rsidRPr="003F6ED8">
              <w:rPr>
                <w:spacing w:val="57"/>
              </w:rPr>
              <w:t xml:space="preserve"> </w:t>
            </w:r>
            <w:r w:rsidRPr="003F6ED8">
              <w:rPr>
                <w:spacing w:val="-1"/>
              </w:rPr>
              <w:t>estimation</w:t>
            </w:r>
            <w:r w:rsidRPr="003F6ED8">
              <w:t xml:space="preserve">, Denaturated Protein Analysis, Quantitative Multivariate Analysis </w:t>
            </w:r>
            <w:r w:rsidRPr="003F6ED8">
              <w:rPr>
                <w:spacing w:val="-1"/>
              </w:rPr>
              <w:t>software</w:t>
            </w:r>
            <w:r w:rsidRPr="003F6ED8">
              <w:rPr>
                <w:spacing w:val="2"/>
              </w:rPr>
              <w:t xml:space="preserve"> should be provided as standard.</w:t>
            </w:r>
          </w:p>
        </w:tc>
      </w:tr>
      <w:tr w:rsidR="002D2039" w:rsidRPr="003F6ED8" w:rsidTr="00EC718E">
        <w:trPr>
          <w:trHeight w:hRule="exact" w:val="4684"/>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85417D" w:rsidRDefault="002D2039" w:rsidP="00EC718E">
            <w:pPr>
              <w:pStyle w:val="TableParagraph"/>
              <w:kinsoku w:val="0"/>
              <w:overflowPunct w:val="0"/>
              <w:spacing w:line="250" w:lineRule="exact"/>
              <w:ind w:left="102"/>
              <w:rPr>
                <w:spacing w:val="-1"/>
              </w:rPr>
            </w:pPr>
            <w:r w:rsidRPr="0085417D">
              <w:rPr>
                <w:spacing w:val="-1"/>
              </w:rPr>
              <w:t>The following Accessories should provide along with the instrument</w:t>
            </w:r>
          </w:p>
          <w:p w:rsidR="002D2039" w:rsidRPr="0085417D" w:rsidRDefault="002D2039" w:rsidP="00EC718E">
            <w:pPr>
              <w:pStyle w:val="TableParagraph"/>
              <w:kinsoku w:val="0"/>
              <w:overflowPunct w:val="0"/>
              <w:spacing w:line="250" w:lineRule="exact"/>
              <w:ind w:left="102"/>
              <w:rPr>
                <w:spacing w:val="-1"/>
              </w:rPr>
            </w:pP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Peltier</w:t>
            </w:r>
            <w:r w:rsidRPr="0085417D">
              <w:rPr>
                <w:spacing w:val="1"/>
              </w:rPr>
              <w:t xml:space="preserve"> </w:t>
            </w:r>
            <w:r w:rsidRPr="0085417D">
              <w:rPr>
                <w:spacing w:val="-1"/>
              </w:rPr>
              <w:t>thermostatted</w:t>
            </w:r>
            <w:r w:rsidRPr="0085417D">
              <w:rPr>
                <w:spacing w:val="-2"/>
              </w:rPr>
              <w:t xml:space="preserve"> </w:t>
            </w:r>
            <w:r w:rsidRPr="0085417D">
              <w:rPr>
                <w:spacing w:val="-1"/>
              </w:rPr>
              <w:t>cell</w:t>
            </w:r>
            <w:r w:rsidRPr="0085417D">
              <w:t xml:space="preserve"> </w:t>
            </w:r>
            <w:r w:rsidRPr="0085417D">
              <w:rPr>
                <w:spacing w:val="-1"/>
              </w:rPr>
              <w:t>holder should have provision to accommodate cylindrical and rectangular cells (Temperature Range: -30 to 130</w:t>
            </w:r>
            <w:r w:rsidRPr="0085417D">
              <w:rPr>
                <w:spacing w:val="-1"/>
                <w:vertAlign w:val="superscript"/>
              </w:rPr>
              <w:t>0</w:t>
            </w:r>
            <w:r w:rsidRPr="0085417D">
              <w:rPr>
                <w:spacing w:val="-1"/>
              </w:rPr>
              <w:t>deg, Accuracy: ±0.1ºC) –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Emission Monochromator, Detector and necessary optical units should be provided for Fluorescence Measurements – Each 1 No.</w:t>
            </w:r>
          </w:p>
          <w:p w:rsidR="002D2039" w:rsidRPr="0085417D" w:rsidRDefault="002D2039" w:rsidP="002D2039">
            <w:pPr>
              <w:pStyle w:val="TableParagraph"/>
              <w:numPr>
                <w:ilvl w:val="0"/>
                <w:numId w:val="27"/>
              </w:numPr>
              <w:kinsoku w:val="0"/>
              <w:overflowPunct w:val="0"/>
              <w:spacing w:line="250" w:lineRule="exact"/>
              <w:rPr>
                <w:bCs/>
              </w:rPr>
            </w:pPr>
            <w:r w:rsidRPr="0085417D">
              <w:rPr>
                <w:bCs/>
              </w:rPr>
              <w:t>Diffuse Reflectance CD  - 1 No.</w:t>
            </w:r>
          </w:p>
          <w:p w:rsidR="002D2039" w:rsidRPr="0085417D" w:rsidRDefault="002D2039" w:rsidP="00EC718E">
            <w:pPr>
              <w:pStyle w:val="TableParagraph"/>
              <w:kinsoku w:val="0"/>
              <w:overflowPunct w:val="0"/>
              <w:spacing w:line="250" w:lineRule="exact"/>
              <w:ind w:left="462"/>
              <w:rPr>
                <w:bCs/>
              </w:rPr>
            </w:pPr>
            <w:r w:rsidRPr="0085417D">
              <w:rPr>
                <w:bCs/>
              </w:rPr>
              <w:t>(Wavelength Range : 250~900nm, Material of integrating sphere: Barium sulfate)                     ID of the integrating sphere should be 60mm</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Detector for </w:t>
            </w:r>
            <w:r w:rsidRPr="0085417D">
              <w:rPr>
                <w:bCs/>
              </w:rPr>
              <w:t xml:space="preserve">Diffuse Reflectance </w:t>
            </w:r>
            <w:r w:rsidRPr="0085417D">
              <w:rPr>
                <w:spacing w:val="-1"/>
              </w:rPr>
              <w:t>CD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Spacers for 2mm &amp; 1mm pathlength cuvette – Each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(10mm pathlength) –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(2mm pathlength) –  2 Nos.</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(1mm pathlength) –  2 Nos.</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Water circulator for Peltier &amp; Xenon lamp – 1No.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PC with i5 Processor, 8GB RAM, 256GB SSD &amp; 1TB HDD, Keyboard, Mouse – 1Set.</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Colour Printer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Nitrogen Cylinder with regulator– 2Nos.</w:t>
            </w:r>
          </w:p>
          <w:p w:rsidR="002D2039" w:rsidRPr="0085417D" w:rsidRDefault="002D2039" w:rsidP="00EC718E">
            <w:pPr>
              <w:pStyle w:val="TableParagraph"/>
              <w:kinsoku w:val="0"/>
              <w:overflowPunct w:val="0"/>
              <w:spacing w:line="250" w:lineRule="exact"/>
              <w:rPr>
                <w:spacing w:val="-1"/>
              </w:rPr>
            </w:pPr>
          </w:p>
        </w:tc>
      </w:tr>
      <w:tr w:rsidR="002D2039" w:rsidRPr="003F6ED8" w:rsidTr="00EC718E">
        <w:trPr>
          <w:trHeight w:hRule="exact" w:val="901"/>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85417D" w:rsidRDefault="002D2039" w:rsidP="002D2039">
            <w:pPr>
              <w:pStyle w:val="TableParagraph"/>
              <w:kinsoku w:val="0"/>
              <w:overflowPunct w:val="0"/>
              <w:spacing w:line="250" w:lineRule="exact"/>
              <w:ind w:left="102"/>
              <w:rPr>
                <w:spacing w:val="-1"/>
              </w:rPr>
            </w:pPr>
            <w:r w:rsidRPr="0085417D">
              <w:rPr>
                <w:spacing w:val="-1"/>
              </w:rPr>
              <w:t xml:space="preserve">Standard Warranty should provide for </w:t>
            </w:r>
            <w:r>
              <w:rPr>
                <w:spacing w:val="-1"/>
              </w:rPr>
              <w:t>2</w:t>
            </w:r>
            <w:r w:rsidRPr="0085417D">
              <w:rPr>
                <w:spacing w:val="-1"/>
              </w:rPr>
              <w:t xml:space="preserve"> years. In addition, comprehensive warranty for </w:t>
            </w:r>
            <w:r>
              <w:rPr>
                <w:spacing w:val="-1"/>
              </w:rPr>
              <w:t>3</w:t>
            </w:r>
            <w:r w:rsidRPr="0085417D">
              <w:rPr>
                <w:spacing w:val="-1"/>
              </w:rPr>
              <w:t xml:space="preserve"> years should be provided.</w:t>
            </w:r>
          </w:p>
        </w:tc>
      </w:tr>
    </w:tbl>
    <w:p w:rsidR="002D2039" w:rsidRDefault="002D2039" w:rsidP="00951DB1">
      <w:pPr>
        <w:spacing w:after="0" w:line="240" w:lineRule="auto"/>
        <w:jc w:val="right"/>
        <w:rPr>
          <w:rFonts w:ascii="Times New Roman" w:hAnsi="Times New Roman" w:cs="Times New Roman"/>
          <w:b/>
          <w:sz w:val="24"/>
          <w:szCs w:val="24"/>
        </w:rPr>
      </w:pPr>
    </w:p>
    <w:p w:rsidR="002D2039" w:rsidRDefault="002D2039"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w:t>
      </w:r>
      <w:r w:rsidR="00976BB9">
        <w:rPr>
          <w:rFonts w:ascii="Times New Roman" w:hAnsi="Times New Roman" w:cs="Times New Roman"/>
          <w:sz w:val="24"/>
          <w:szCs w:val="24"/>
        </w:rPr>
        <w:t xml:space="preserve"> </w:t>
      </w:r>
      <w:r>
        <w:rPr>
          <w:rFonts w:ascii="Times New Roman" w:hAnsi="Times New Roman" w:cs="Times New Roman"/>
          <w:sz w:val="24"/>
          <w:szCs w:val="24"/>
        </w:rPr>
        <w:t>__________, DD No.</w:t>
      </w:r>
      <w:r w:rsidR="00976BB9">
        <w:rPr>
          <w:rFonts w:ascii="Times New Roman" w:hAnsi="Times New Roman" w:cs="Times New Roman"/>
          <w:sz w:val="24"/>
          <w:szCs w:val="24"/>
        </w:rPr>
        <w:t xml:space="preserve"> </w:t>
      </w:r>
      <w:r>
        <w:rPr>
          <w:rFonts w:ascii="Times New Roman" w:hAnsi="Times New Roman" w:cs="Times New Roman"/>
          <w:sz w:val="24"/>
          <w:szCs w:val="24"/>
        </w:rPr>
        <w:t>__________</w:t>
      </w:r>
      <w:r w:rsidR="00976BB9">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76BB9">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Pr="008929F1">
        <w:rPr>
          <w:rFonts w:ascii="Times New Roman" w:hAnsi="Times New Roman" w:cs="Times New Roman"/>
          <w:sz w:val="24"/>
          <w:szCs w:val="24"/>
        </w:rPr>
        <w:t>Rs.</w:t>
      </w:r>
      <w:r w:rsidR="00976BB9">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sidR="00976BB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996BEC" w:rsidRDefault="002D2039" w:rsidP="005F5D98">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sidR="005F5D98">
              <w:rPr>
                <w:rFonts w:ascii="Times New Roman" w:hAnsi="Times New Roman" w:cs="Times New Roman"/>
                <w:b/>
                <w:sz w:val="24"/>
                <w:szCs w:val="24"/>
              </w:rPr>
              <w:t xml:space="preserve"> Warranty</w:t>
            </w:r>
            <w:r w:rsidRPr="00996BEC">
              <w:rPr>
                <w:rFonts w:ascii="Times New Roman" w:hAnsi="Times New Roman" w:cs="Times New Roman"/>
                <w:b/>
                <w:sz w:val="24"/>
                <w:szCs w:val="24"/>
              </w:rPr>
              <w:t xml:space="preserve"> +</w:t>
            </w:r>
            <w:r w:rsidR="00996BEC">
              <w:rPr>
                <w:rFonts w:ascii="Times New Roman" w:hAnsi="Times New Roman" w:cs="Times New Roman"/>
                <w:b/>
                <w:sz w:val="24"/>
                <w:szCs w:val="24"/>
              </w:rPr>
              <w:t xml:space="preserve"> Additional</w:t>
            </w:r>
            <w:r w:rsidRPr="00996BEC">
              <w:rPr>
                <w:rFonts w:ascii="Times New Roman" w:hAnsi="Times New Roman" w:cs="Times New Roman"/>
                <w:b/>
                <w:sz w:val="24"/>
                <w:szCs w:val="24"/>
              </w:rPr>
              <w:t xml:space="preserve"> 3</w:t>
            </w:r>
            <w:r w:rsidR="00996BEC" w:rsidRPr="00996BEC">
              <w:rPr>
                <w:rFonts w:ascii="Times New Roman" w:hAnsi="Times New Roman" w:cs="Times New Roman"/>
                <w:b/>
                <w:sz w:val="24"/>
                <w:szCs w:val="24"/>
              </w:rPr>
              <w:t xml:space="preserve">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F5D98" w:rsidRDefault="005F5D98"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821B95" w:rsidRPr="008929F1" w:rsidRDefault="00821B95" w:rsidP="00821B95">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821B95" w:rsidRPr="008929F1" w:rsidRDefault="00821B95" w:rsidP="00821B95">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8929F1" w:rsidRDefault="00951DB1" w:rsidP="00951DB1">
      <w:pPr>
        <w:spacing w:after="0" w:line="240" w:lineRule="auto"/>
        <w:jc w:val="both"/>
        <w:rPr>
          <w:rFonts w:ascii="Times New Roman" w:hAnsi="Times New Roman" w:cs="Times New Roman"/>
          <w:sz w:val="14"/>
          <w:szCs w:val="24"/>
        </w:rPr>
      </w:pPr>
    </w:p>
    <w:p w:rsidR="00951DB1" w:rsidRPr="008929F1" w:rsidRDefault="00242305" w:rsidP="00951DB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406D5E" w:rsidRPr="00406D5E" w:rsidRDefault="00406D5E"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951DB1"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F5D98" w:rsidRDefault="005F5D98"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155BF2">
      <w:footerReference w:type="default" r:id="rId10"/>
      <w:pgSz w:w="12240" w:h="15840"/>
      <w:pgMar w:top="990"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2E" w:rsidRDefault="00F8652E" w:rsidP="00844D6F">
      <w:pPr>
        <w:spacing w:after="0" w:line="240" w:lineRule="auto"/>
      </w:pPr>
      <w:r>
        <w:separator/>
      </w:r>
    </w:p>
  </w:endnote>
  <w:endnote w:type="continuationSeparator" w:id="0">
    <w:p w:rsidR="00F8652E" w:rsidRDefault="00F8652E"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F8652E">
        <w:pPr>
          <w:pStyle w:val="Footer"/>
          <w:jc w:val="center"/>
        </w:pPr>
        <w:r>
          <w:rPr>
            <w:noProof/>
          </w:rPr>
          <w:fldChar w:fldCharType="begin"/>
        </w:r>
        <w:r>
          <w:rPr>
            <w:noProof/>
          </w:rPr>
          <w:instrText xml:space="preserve"> PAGE   \* MERGEFORMAT </w:instrText>
        </w:r>
        <w:r>
          <w:rPr>
            <w:noProof/>
          </w:rPr>
          <w:fldChar w:fldCharType="separate"/>
        </w:r>
        <w:r w:rsidR="00F53990">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2E" w:rsidRDefault="00F8652E" w:rsidP="00844D6F">
      <w:pPr>
        <w:spacing w:after="0" w:line="240" w:lineRule="auto"/>
      </w:pPr>
      <w:r>
        <w:separator/>
      </w:r>
    </w:p>
  </w:footnote>
  <w:footnote w:type="continuationSeparator" w:id="0">
    <w:p w:rsidR="00F8652E" w:rsidRDefault="00F8652E"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10420"/>
    <w:multiLevelType w:val="hybridMultilevel"/>
    <w:tmpl w:val="1E120202"/>
    <w:lvl w:ilvl="0" w:tplc="44C21D6C">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6"/>
  </w:num>
  <w:num w:numId="5">
    <w:abstractNumId w:val="21"/>
  </w:num>
  <w:num w:numId="6">
    <w:abstractNumId w:val="9"/>
  </w:num>
  <w:num w:numId="7">
    <w:abstractNumId w:val="3"/>
  </w:num>
  <w:num w:numId="8">
    <w:abstractNumId w:val="23"/>
  </w:num>
  <w:num w:numId="9">
    <w:abstractNumId w:val="15"/>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4"/>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07ADB"/>
    <w:rsid w:val="00016283"/>
    <w:rsid w:val="00023E13"/>
    <w:rsid w:val="00031B61"/>
    <w:rsid w:val="00044631"/>
    <w:rsid w:val="000834C5"/>
    <w:rsid w:val="00085002"/>
    <w:rsid w:val="000C2E0A"/>
    <w:rsid w:val="000D63B0"/>
    <w:rsid w:val="000F6E0F"/>
    <w:rsid w:val="00110D4B"/>
    <w:rsid w:val="00117C46"/>
    <w:rsid w:val="00121AE1"/>
    <w:rsid w:val="00137CBD"/>
    <w:rsid w:val="00150FF9"/>
    <w:rsid w:val="00155BF2"/>
    <w:rsid w:val="0016593B"/>
    <w:rsid w:val="00182F0E"/>
    <w:rsid w:val="00193726"/>
    <w:rsid w:val="0019711C"/>
    <w:rsid w:val="001B6161"/>
    <w:rsid w:val="001D6E09"/>
    <w:rsid w:val="001F5879"/>
    <w:rsid w:val="002044AE"/>
    <w:rsid w:val="0022475E"/>
    <w:rsid w:val="002369C3"/>
    <w:rsid w:val="00242305"/>
    <w:rsid w:val="0025068C"/>
    <w:rsid w:val="00281222"/>
    <w:rsid w:val="00287525"/>
    <w:rsid w:val="002945A1"/>
    <w:rsid w:val="002A2CDA"/>
    <w:rsid w:val="002D2039"/>
    <w:rsid w:val="002D679A"/>
    <w:rsid w:val="00317AA8"/>
    <w:rsid w:val="00320762"/>
    <w:rsid w:val="00336145"/>
    <w:rsid w:val="00347AC9"/>
    <w:rsid w:val="003657D8"/>
    <w:rsid w:val="003C2C7C"/>
    <w:rsid w:val="00406D5E"/>
    <w:rsid w:val="00446AB4"/>
    <w:rsid w:val="00473020"/>
    <w:rsid w:val="0048317B"/>
    <w:rsid w:val="004D336F"/>
    <w:rsid w:val="004D3377"/>
    <w:rsid w:val="004D597F"/>
    <w:rsid w:val="004F6C3C"/>
    <w:rsid w:val="0052512F"/>
    <w:rsid w:val="0054132C"/>
    <w:rsid w:val="00573F73"/>
    <w:rsid w:val="0058041D"/>
    <w:rsid w:val="00590C57"/>
    <w:rsid w:val="005A03C2"/>
    <w:rsid w:val="005C7F11"/>
    <w:rsid w:val="005D6161"/>
    <w:rsid w:val="005F5D98"/>
    <w:rsid w:val="006037C4"/>
    <w:rsid w:val="00603A5D"/>
    <w:rsid w:val="00630E92"/>
    <w:rsid w:val="00642522"/>
    <w:rsid w:val="00670965"/>
    <w:rsid w:val="006B6249"/>
    <w:rsid w:val="006E481A"/>
    <w:rsid w:val="006F253C"/>
    <w:rsid w:val="006F3A66"/>
    <w:rsid w:val="006F595E"/>
    <w:rsid w:val="006F7586"/>
    <w:rsid w:val="006F7C77"/>
    <w:rsid w:val="00712527"/>
    <w:rsid w:val="007154E7"/>
    <w:rsid w:val="00723DB8"/>
    <w:rsid w:val="00764B6B"/>
    <w:rsid w:val="00781E6B"/>
    <w:rsid w:val="00790E48"/>
    <w:rsid w:val="007A7DEB"/>
    <w:rsid w:val="007D415F"/>
    <w:rsid w:val="007D7642"/>
    <w:rsid w:val="007F2FBB"/>
    <w:rsid w:val="007F66F1"/>
    <w:rsid w:val="00805EC7"/>
    <w:rsid w:val="00821B95"/>
    <w:rsid w:val="00844D6F"/>
    <w:rsid w:val="00852404"/>
    <w:rsid w:val="0087060D"/>
    <w:rsid w:val="00872C97"/>
    <w:rsid w:val="008929F1"/>
    <w:rsid w:val="008A5D31"/>
    <w:rsid w:val="008E06CA"/>
    <w:rsid w:val="0090546E"/>
    <w:rsid w:val="00933D08"/>
    <w:rsid w:val="00951DB1"/>
    <w:rsid w:val="009664BC"/>
    <w:rsid w:val="00976BB9"/>
    <w:rsid w:val="0097720C"/>
    <w:rsid w:val="00996BEC"/>
    <w:rsid w:val="009B163E"/>
    <w:rsid w:val="009B61C8"/>
    <w:rsid w:val="009C310F"/>
    <w:rsid w:val="00A14C39"/>
    <w:rsid w:val="00A529F5"/>
    <w:rsid w:val="00A73654"/>
    <w:rsid w:val="00A754A9"/>
    <w:rsid w:val="00AA661B"/>
    <w:rsid w:val="00AD103F"/>
    <w:rsid w:val="00AF5AEF"/>
    <w:rsid w:val="00AF728F"/>
    <w:rsid w:val="00B1466E"/>
    <w:rsid w:val="00B218BD"/>
    <w:rsid w:val="00B34592"/>
    <w:rsid w:val="00B4010B"/>
    <w:rsid w:val="00B501FC"/>
    <w:rsid w:val="00B546D6"/>
    <w:rsid w:val="00B70D64"/>
    <w:rsid w:val="00B77A1D"/>
    <w:rsid w:val="00BB1AE2"/>
    <w:rsid w:val="00BC6827"/>
    <w:rsid w:val="00BD7059"/>
    <w:rsid w:val="00C276E0"/>
    <w:rsid w:val="00C358DB"/>
    <w:rsid w:val="00C42A56"/>
    <w:rsid w:val="00C46619"/>
    <w:rsid w:val="00C50D15"/>
    <w:rsid w:val="00C56A14"/>
    <w:rsid w:val="00C63115"/>
    <w:rsid w:val="00C73187"/>
    <w:rsid w:val="00CA2E16"/>
    <w:rsid w:val="00CE35E5"/>
    <w:rsid w:val="00CF0696"/>
    <w:rsid w:val="00CF38E7"/>
    <w:rsid w:val="00D06E1A"/>
    <w:rsid w:val="00D16FCF"/>
    <w:rsid w:val="00D30FF8"/>
    <w:rsid w:val="00D31A3B"/>
    <w:rsid w:val="00D51E1F"/>
    <w:rsid w:val="00D57B1C"/>
    <w:rsid w:val="00D712BC"/>
    <w:rsid w:val="00DC14D5"/>
    <w:rsid w:val="00DC2356"/>
    <w:rsid w:val="00E45AA9"/>
    <w:rsid w:val="00E5092E"/>
    <w:rsid w:val="00E56B14"/>
    <w:rsid w:val="00E856D5"/>
    <w:rsid w:val="00E94DCB"/>
    <w:rsid w:val="00EB26F8"/>
    <w:rsid w:val="00ED74CB"/>
    <w:rsid w:val="00F53990"/>
    <w:rsid w:val="00F8652E"/>
    <w:rsid w:val="00FC52D4"/>
    <w:rsid w:val="00FD0482"/>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FD35-53CA-4B0B-8C6F-232539F4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D2039"/>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715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2559-F3B4-45F7-B290-5D6229A2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73</cp:revision>
  <cp:lastPrinted>2022-01-21T06:12:00Z</cp:lastPrinted>
  <dcterms:created xsi:type="dcterms:W3CDTF">2015-01-24T04:42:00Z</dcterms:created>
  <dcterms:modified xsi:type="dcterms:W3CDTF">2022-01-21T11:41:00Z</dcterms:modified>
</cp:coreProperties>
</file>